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94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Утверждена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694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постановлением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694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Кабинета Министров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694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Республики Татарстан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694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от 10.09.2020 № 821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694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(в редакции постановления Кабинета Министров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694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Республики Татарстан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694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от _______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2026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№ _____)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/>
      <w:bookmarkStart w:id="0" w:name="30j0zll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программа Республики Татарстан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«Сохранение, изучение и развитие государственных языков Республики Татарстан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других языков в Республике Татарстан»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spacing w:before="0" w:after="0"/>
        <w:widowControl w:val="o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</w:r>
      <w:r>
        <w:rPr>
          <w:color w:val="333333"/>
          <w:sz w:val="28"/>
          <w:szCs w:val="28"/>
        </w:rPr>
      </w:r>
      <w:r>
        <w:rPr>
          <w:color w:val="333333"/>
          <w:sz w:val="28"/>
          <w:szCs w:val="28"/>
        </w:rPr>
      </w:r>
    </w:p>
    <w:p>
      <w:pPr>
        <w:pStyle w:val="889"/>
        <w:jc w:val="center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Стратегические приоритеты в сфере реализации государственной программы Республики Татарстан «Сохранение, изучение и развитие государственных языков Республики Татарстан и других языков в Республике Татарстан»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I</w:t>
      </w:r>
      <w:r>
        <w:rPr>
          <w:sz w:val="28"/>
          <w:szCs w:val="28"/>
        </w:rPr>
        <w:t xml:space="preserve">. Оценка текущего состояния в сфере сохранения, изучения и развития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государственных языков Республики Татарстан и других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языков в Республике Татарстан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 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Основополагающими ориентирами настоящей государственной программы в соответствии со Стратегией государственной национальной политики Российской Федерации на период до 2036 года, Основами государственной языковой политики Российской Федерации и </w:t>
      </w:r>
      <w:r>
        <w:rPr>
          <w:sz w:val="28"/>
          <w:szCs w:val="28"/>
        </w:rPr>
        <w:t xml:space="preserve">Основами </w:t>
      </w:r>
      <w:r>
        <w:rPr>
          <w:sz w:val="28"/>
          <w:szCs w:val="28"/>
        </w:rPr>
        <w:t xml:space="preserve">государственной политики по сохранению и укреплению традиционных российск</w:t>
      </w:r>
      <w:r>
        <w:rPr>
          <w:sz w:val="28"/>
          <w:szCs w:val="28"/>
        </w:rPr>
        <w:t xml:space="preserve">их духовно-нравственных ценностей являются укрепление  единства многонационального народа Российской Федерации (российской нации) и общероссийской гражданской идентичности (гражданского самосознания) при сохранении этнокультурного и языкового многообразия,</w:t>
      </w:r>
      <w:r>
        <w:t xml:space="preserve"> </w:t>
      </w:r>
      <w:r>
        <w:rPr>
          <w:sz w:val="28"/>
          <w:szCs w:val="28"/>
        </w:rPr>
        <w:t xml:space="preserve">сохранение и укрепление традиционных ценностей, передача их от поколения к поколению для обеспечения развития страны, ее государственной и территориальной целостности, внутренней политической и социальной стабильности</w:t>
      </w:r>
      <w:r>
        <w:rPr>
          <w:sz w:val="28"/>
          <w:szCs w:val="28"/>
          <w:lang w:val="tt-RU"/>
        </w:rPr>
        <w:t xml:space="preserve">.</w:t>
      </w:r>
      <w:r>
        <w:rPr>
          <w:sz w:val="28"/>
          <w:szCs w:val="28"/>
          <w:lang w:val="tt-RU"/>
        </w:rPr>
      </w:r>
      <w:r>
        <w:rPr>
          <w:sz w:val="28"/>
          <w:szCs w:val="28"/>
          <w:lang w:val="tt-RU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Особенностью Республики Татарстан являются </w:t>
      </w:r>
      <w:r>
        <w:rPr>
          <w:sz w:val="28"/>
          <w:szCs w:val="28"/>
        </w:rPr>
        <w:t xml:space="preserve">много</w:t>
      </w:r>
      <w:r>
        <w:rPr>
          <w:sz w:val="28"/>
          <w:szCs w:val="28"/>
        </w:rPr>
        <w:t xml:space="preserve">этничность и поликонфессиональность населения. В Та</w:t>
      </w:r>
      <w:r>
        <w:rPr>
          <w:sz w:val="28"/>
          <w:szCs w:val="28"/>
        </w:rPr>
        <w:t xml:space="preserve">тарстан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проживают представители </w:t>
      </w:r>
      <w:r>
        <w:rPr>
          <w:sz w:val="28"/>
          <w:szCs w:val="28"/>
        </w:rPr>
        <w:t xml:space="preserve">175 национальностей. Общественное развитие </w:t>
      </w:r>
      <w:r>
        <w:rPr>
          <w:sz w:val="28"/>
          <w:szCs w:val="28"/>
        </w:rPr>
        <w:t xml:space="preserve">республики </w:t>
      </w:r>
      <w:r>
        <w:rPr>
          <w:sz w:val="28"/>
          <w:szCs w:val="28"/>
        </w:rPr>
        <w:t xml:space="preserve">характеризуется тесным этнокультурным взаимовлиянием и взаимопроникновением традиций представителей проживающих на его территории народов.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принципами реализации государственной языковой политики проводится работа по </w:t>
      </w:r>
      <w:r>
        <w:rPr>
          <w:sz w:val="28"/>
          <w:szCs w:val="28"/>
        </w:rPr>
        <w:t xml:space="preserve">сохранению и обеспечению и</w:t>
      </w:r>
      <w:r>
        <w:rPr>
          <w:sz w:val="28"/>
          <w:szCs w:val="28"/>
        </w:rPr>
        <w:t xml:space="preserve">спользования русского языка как государственного языка Российской Федерации, родного языка и языка межнационального общения и интеграции, сохранению, изучению и развитию татарского языка как государственного языка Республики Татарстан и как родного языка, </w:t>
      </w:r>
      <w:r>
        <w:rPr>
          <w:sz w:val="28"/>
          <w:szCs w:val="28"/>
        </w:rPr>
        <w:t xml:space="preserve">обеспечению надлежащего функционирования </w:t>
      </w:r>
      <w:r>
        <w:rPr>
          <w:sz w:val="28"/>
          <w:szCs w:val="28"/>
        </w:rPr>
        <w:t xml:space="preserve">русского и татарского языков </w:t>
      </w:r>
      <w:r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государственных языков Республики Татарстан, создани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условий для </w:t>
      </w:r>
      <w:r>
        <w:rPr>
          <w:sz w:val="28"/>
          <w:szCs w:val="28"/>
        </w:rPr>
        <w:t xml:space="preserve">реализации</w:t>
      </w:r>
      <w:r>
        <w:rPr>
          <w:sz w:val="28"/>
          <w:szCs w:val="28"/>
        </w:rPr>
        <w:t xml:space="preserve"> конституционных прав граждан Российской Федерации на пользование родным языком, на свободный выбор языка общения, во</w:t>
      </w:r>
      <w:r>
        <w:rPr>
          <w:sz w:val="28"/>
          <w:szCs w:val="28"/>
        </w:rPr>
        <w:t xml:space="preserve">спитания, обучения и творчества, </w:t>
      </w:r>
      <w:r>
        <w:rPr>
          <w:sz w:val="28"/>
          <w:szCs w:val="28"/>
        </w:rPr>
        <w:t xml:space="preserve">укреплени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исторического и культурного единст</w:t>
      </w:r>
      <w:r>
        <w:rPr>
          <w:sz w:val="28"/>
          <w:szCs w:val="28"/>
        </w:rPr>
        <w:t xml:space="preserve">ва граждан, сохранению этнокультурного и языкового многообразия страны.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Информационно-коммуникационные </w:t>
      </w:r>
      <w:r>
        <w:rPr>
          <w:sz w:val="28"/>
          <w:szCs w:val="28"/>
        </w:rPr>
        <w:t xml:space="preserve">технологии </w:t>
      </w:r>
      <w:r>
        <w:rPr>
          <w:sz w:val="28"/>
          <w:szCs w:val="28"/>
        </w:rPr>
        <w:t xml:space="preserve">имеют стратегическое значение для сохранения национальной безопасности нашей страны</w:t>
      </w:r>
      <w:r>
        <w:rPr>
          <w:sz w:val="28"/>
          <w:szCs w:val="28"/>
        </w:rPr>
        <w:t xml:space="preserve">. В решении задачи укрепления гражданской идентичности и противостояния внешним рискам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сохранение </w:t>
      </w:r>
      <w:r>
        <w:rPr>
          <w:sz w:val="28"/>
          <w:szCs w:val="28"/>
        </w:rPr>
        <w:t xml:space="preserve">языково</w:t>
      </w:r>
      <w:r>
        <w:rPr>
          <w:sz w:val="28"/>
          <w:szCs w:val="28"/>
        </w:rPr>
        <w:t xml:space="preserve">го</w:t>
      </w:r>
      <w:r>
        <w:rPr>
          <w:sz w:val="28"/>
          <w:szCs w:val="28"/>
        </w:rPr>
        <w:t xml:space="preserve"> многообрази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опорным фактором.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Информационное обеспечение реализации государственной национальной политики осуществляется посредством создания и продвижения на языках </w:t>
      </w:r>
      <w:r>
        <w:rPr>
          <w:sz w:val="28"/>
          <w:szCs w:val="28"/>
        </w:rPr>
        <w:t xml:space="preserve">представителей </w:t>
      </w:r>
      <w:r>
        <w:rPr>
          <w:sz w:val="28"/>
          <w:szCs w:val="28"/>
        </w:rPr>
        <w:t xml:space="preserve">народов, проживающих в Республике Татарстан, социально значимого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контента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направленного на укрепление </w:t>
      </w:r>
      <w:r>
        <w:rPr>
          <w:sz w:val="28"/>
          <w:szCs w:val="28"/>
        </w:rPr>
        <w:t xml:space="preserve">гражданского единства, гармонизацию межнациональных (межэтнических) отношений, на популяризацию культуры народов Российской Федерации, традиционных российских духовно-нравственных и культурно-исторических ценностей и приобщение к ним молодежи. Кроме того, </w:t>
      </w:r>
      <w:r>
        <w:rPr>
          <w:sz w:val="28"/>
          <w:szCs w:val="28"/>
        </w:rPr>
        <w:t xml:space="preserve">в Республике Татарстан проводится работа по созданию </w:t>
      </w:r>
      <w:r>
        <w:rPr>
          <w:sz w:val="28"/>
          <w:szCs w:val="28"/>
        </w:rPr>
        <w:t xml:space="preserve">условий для функционирования языков в цифровой среде (локализация современных операционных систем, </w:t>
      </w:r>
      <w:r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 xml:space="preserve">электронны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корпус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языков, </w:t>
      </w:r>
      <w:r>
        <w:rPr>
          <w:sz w:val="28"/>
          <w:szCs w:val="28"/>
        </w:rPr>
        <w:t xml:space="preserve">совершенствование </w:t>
      </w:r>
      <w:r>
        <w:rPr>
          <w:sz w:val="28"/>
          <w:szCs w:val="28"/>
        </w:rPr>
        <w:t xml:space="preserve">виртуальны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клавиатур, словар</w:t>
      </w:r>
      <w:r>
        <w:rPr>
          <w:sz w:val="28"/>
          <w:szCs w:val="28"/>
        </w:rPr>
        <w:t xml:space="preserve">ей</w:t>
      </w:r>
      <w:r>
        <w:rPr>
          <w:sz w:val="28"/>
          <w:szCs w:val="28"/>
        </w:rPr>
        <w:t xml:space="preserve"> для мобильных операционных систем и другие инструменты)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Анализ состояния научно-фундаментальных исследований в области гуманитарных наук, в частности языкознания,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каз</w:t>
      </w:r>
      <w:r>
        <w:rPr>
          <w:sz w:val="28"/>
          <w:szCs w:val="28"/>
        </w:rPr>
        <w:t xml:space="preserve">ал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перспективность </w:t>
      </w:r>
      <w:r>
        <w:rPr>
          <w:sz w:val="28"/>
          <w:szCs w:val="28"/>
        </w:rPr>
        <w:t xml:space="preserve">создания </w:t>
      </w:r>
      <w:r>
        <w:rPr>
          <w:sz w:val="28"/>
          <w:szCs w:val="28"/>
        </w:rPr>
        <w:t xml:space="preserve">фундаментальных трудов теоретического характера, которые учитывали бы в полной мере новейшие достижения отечественной, мировой лингвистики. Важными задачами являются по</w:t>
      </w:r>
      <w:r>
        <w:rPr>
          <w:sz w:val="28"/>
          <w:szCs w:val="28"/>
        </w:rPr>
        <w:t xml:space="preserve">вышение качественного уровня исследований в области русской и татарской филологии, внедрение их результатов в деятельность научных и образовательных организаций Республики Татарстан. Сохраняет свою актуальность использование татарского языка в сфере науки.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Важной задачей явля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тся сохранение памятников письменной культуры (консервация, реставрация), оцифровка рукописей и старопечатных книг из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библиотек и архивохранилищ Республики Татарстан</w:t>
      </w:r>
      <w:r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 xml:space="preserve">популяризация письменного наследия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 Республике Татарстан традиционно уделяется особое внимание укреплению </w:t>
      </w:r>
      <w:r>
        <w:rPr>
          <w:sz w:val="28"/>
          <w:szCs w:val="28"/>
        </w:rPr>
        <w:t xml:space="preserve">гражданской</w:t>
      </w:r>
      <w:r>
        <w:rPr>
          <w:sz w:val="28"/>
          <w:szCs w:val="28"/>
        </w:rPr>
        <w:t xml:space="preserve"> идентичности, трансляции культурных и языковых традиций, воспитанию любви к родному языку и духовному наследию</w:t>
      </w:r>
      <w:r>
        <w:rPr>
          <w:sz w:val="28"/>
          <w:szCs w:val="28"/>
        </w:rPr>
        <w:t xml:space="preserve">, формированию этнической идентичности </w:t>
      </w:r>
      <w:r>
        <w:rPr>
          <w:sz w:val="28"/>
          <w:szCs w:val="28"/>
        </w:rPr>
        <w:t xml:space="preserve">у подрастающего поколения. Неизменный интерес к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детским </w:t>
      </w:r>
      <w:r>
        <w:rPr>
          <w:sz w:val="28"/>
          <w:szCs w:val="28"/>
        </w:rPr>
        <w:t xml:space="preserve">лагерям речевой направленности, профильны</w:t>
      </w:r>
      <w:r>
        <w:rPr>
          <w:sz w:val="28"/>
          <w:szCs w:val="28"/>
        </w:rPr>
        <w:t xml:space="preserve">м сменам, конференциям и олимпиадам на родных языках свидетельствует, что данное направление работы востребовано и требует продолжения. Необходимо также поощрение инициатив общественных организаций, создание новых современных молодежных и детских проектов.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Во всех муниципальных образованиях Республики Татарстан функционируют структурные подразделения органов государственной власти и органов местного самоуправления, к функциям которых отнесены вопросы реализации </w:t>
      </w:r>
      <w:r>
        <w:rPr>
          <w:sz w:val="28"/>
          <w:szCs w:val="28"/>
        </w:rPr>
        <w:t xml:space="preserve">основ </w:t>
      </w:r>
      <w:r>
        <w:rPr>
          <w:sz w:val="28"/>
          <w:szCs w:val="28"/>
        </w:rPr>
        <w:t xml:space="preserve">государственной языковой политики Российской Федерации, </w:t>
      </w:r>
      <w:r>
        <w:rPr>
          <w:sz w:val="28"/>
          <w:szCs w:val="28"/>
        </w:rPr>
        <w:t xml:space="preserve">законодательства о государственных языках Республики Татарстан и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государственной программы Республики Татарстан (далее – государственная программа Республики Татарстан).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Уделяется большое внимание паритетному соотношению аудиовизуальной информации на государственных языках Республики Татарстан в сфере государственного и муниципального управления, инфокоммуникационной сфере и сфере услуг.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Ключевым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государственной программы Республики Татарстан явля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тся сохранение образовательного пространства д</w:t>
      </w:r>
      <w:r>
        <w:rPr>
          <w:sz w:val="28"/>
          <w:szCs w:val="28"/>
        </w:rPr>
        <w:t xml:space="preserve">ля развития языков и культур в условиях межкультурной интеграции и формирование полилингвальной, гармоничной личности, обладающей широким кругозором и объемным багажом знаний, обеспечивающим конкурентоспособность в современном мире, на основе традиционных </w:t>
      </w:r>
      <w:r>
        <w:rPr>
          <w:sz w:val="28"/>
          <w:szCs w:val="28"/>
        </w:rPr>
        <w:t xml:space="preserve">российских </w:t>
      </w:r>
      <w:r>
        <w:rPr>
          <w:sz w:val="28"/>
          <w:szCs w:val="28"/>
        </w:rPr>
        <w:t xml:space="preserve">духовно-нравственных ценностей и принципа взаимоуважения. В республике созданы условия для обучения на родном языке и изучения родных языков </w:t>
      </w:r>
      <w:r>
        <w:rPr>
          <w:sz w:val="28"/>
          <w:szCs w:val="28"/>
        </w:rPr>
        <w:t xml:space="preserve">представителей </w:t>
      </w:r>
      <w:r>
        <w:rPr>
          <w:sz w:val="28"/>
          <w:szCs w:val="28"/>
        </w:rPr>
        <w:t xml:space="preserve">народов, проживающих в Республике Татарстан. В частности, в общеобразовательных организациях Республики Татарстан изучаются семь родных языков: русский, татарский, чувашский, марийский, удмуртский, мордовский, </w:t>
      </w:r>
      <w:r>
        <w:rPr>
          <w:sz w:val="28"/>
          <w:szCs w:val="28"/>
        </w:rPr>
        <w:t xml:space="preserve">башкирский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ведется обучение и воспитание на пяти родных языках. Расширению возможностей реализации этнокультурных потребностей населения способствует система дополнительного образования Республики Татарстан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111 отделениях </w:t>
      </w:r>
      <w:r>
        <w:rPr>
          <w:sz w:val="28"/>
          <w:szCs w:val="28"/>
        </w:rPr>
        <w:t xml:space="preserve">Многонациональной </w:t>
      </w:r>
      <w:r>
        <w:rPr>
          <w:sz w:val="28"/>
          <w:szCs w:val="28"/>
        </w:rPr>
        <w:t xml:space="preserve">воскресной школы </w:t>
      </w:r>
      <w:r>
        <w:rPr>
          <w:sz w:val="28"/>
          <w:szCs w:val="28"/>
        </w:rPr>
        <w:t xml:space="preserve">и учреждений дополнительного образования детей </w:t>
      </w:r>
      <w:r>
        <w:rPr>
          <w:sz w:val="28"/>
          <w:szCs w:val="28"/>
        </w:rPr>
        <w:t xml:space="preserve">изучаются языки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культура представителей 30 национальностей (</w:t>
      </w:r>
      <w:r>
        <w:rPr>
          <w:sz w:val="28"/>
          <w:szCs w:val="28"/>
        </w:rPr>
        <w:t xml:space="preserve">якутский, бурятский</w:t>
      </w:r>
      <w:r>
        <w:rPr>
          <w:sz w:val="28"/>
          <w:szCs w:val="28"/>
          <w:lang w:val="tt-RU"/>
        </w:rPr>
        <w:t xml:space="preserve">,</w:t>
      </w:r>
      <w:r>
        <w:rPr>
          <w:sz w:val="28"/>
          <w:szCs w:val="28"/>
          <w:lang w:val="tt-RU"/>
        </w:rPr>
        <w:t xml:space="preserve"> тувинский, чеченский, ингушский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 xml:space="preserve">и другие).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Важн</w:t>
      </w:r>
      <w:r>
        <w:rPr>
          <w:sz w:val="28"/>
          <w:szCs w:val="28"/>
        </w:rPr>
        <w:t xml:space="preserve">ыми</w:t>
      </w:r>
      <w:r>
        <w:rPr>
          <w:sz w:val="28"/>
          <w:szCs w:val="28"/>
        </w:rPr>
        <w:t xml:space="preserve"> задач</w:t>
      </w:r>
      <w:r>
        <w:rPr>
          <w:sz w:val="28"/>
          <w:szCs w:val="28"/>
        </w:rPr>
        <w:t xml:space="preserve">ами</w:t>
      </w:r>
      <w:r>
        <w:rPr>
          <w:sz w:val="28"/>
          <w:szCs w:val="28"/>
        </w:rPr>
        <w:t xml:space="preserve"> явля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тся совершенствование методик, обновление учебно-методических комплектов, внедрение информационных </w:t>
      </w:r>
      <w:r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 xml:space="preserve">технологий, обеспечение коммуникативной составляющей обучения, разработка мультимедийного контента обучения языкам.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 целях совершенст</w:t>
      </w:r>
      <w:r>
        <w:rPr>
          <w:sz w:val="28"/>
          <w:szCs w:val="28"/>
        </w:rPr>
        <w:t xml:space="preserve">вования методик и технологий преподавания родных языков и в соответствии с федеральными государственными образовательными стандартами Академией наук Республики Татарстан, Институтом развития образования Республики Татарстан разработаны федеральные рабочие </w:t>
      </w:r>
      <w:r>
        <w:rPr>
          <w:sz w:val="28"/>
          <w:szCs w:val="28"/>
        </w:rPr>
        <w:t xml:space="preserve">программы по учебным предметам «</w:t>
      </w:r>
      <w:r>
        <w:rPr>
          <w:sz w:val="28"/>
          <w:szCs w:val="28"/>
        </w:rPr>
        <w:t xml:space="preserve">Государственный (татар</w:t>
      </w:r>
      <w:r>
        <w:rPr>
          <w:sz w:val="28"/>
          <w:szCs w:val="28"/>
        </w:rPr>
        <w:t xml:space="preserve">ский) язык Республики Татарстан», «Родной (татарский) язык», «Родная (татарская) литература», «</w:t>
      </w:r>
      <w:r>
        <w:rPr>
          <w:sz w:val="28"/>
          <w:szCs w:val="28"/>
        </w:rPr>
        <w:t xml:space="preserve">Литературное чте</w:t>
      </w:r>
      <w:r>
        <w:rPr>
          <w:sz w:val="28"/>
          <w:szCs w:val="28"/>
        </w:rPr>
        <w:t xml:space="preserve">ние на родном (татарском) языке»</w:t>
      </w:r>
      <w:r>
        <w:rPr>
          <w:sz w:val="28"/>
          <w:szCs w:val="28"/>
        </w:rPr>
        <w:t xml:space="preserve"> для 1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11 классов общеобразовательных организаций Республики Татарстан.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чебно-методически</w:t>
      </w:r>
      <w:r>
        <w:rPr>
          <w:sz w:val="28"/>
          <w:szCs w:val="28"/>
        </w:rPr>
        <w:t xml:space="preserve">е комплекты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tt-RU"/>
        </w:rPr>
        <w:t xml:space="preserve">г</w:t>
      </w:r>
      <w:r>
        <w:rPr>
          <w:sz w:val="28"/>
          <w:szCs w:val="28"/>
        </w:rPr>
        <w:t xml:space="preserve">государственному</w:t>
      </w:r>
      <w:r>
        <w:rPr>
          <w:sz w:val="28"/>
          <w:szCs w:val="28"/>
        </w:rPr>
        <w:t xml:space="preserve"> (татарскому) языку Республики Татарстан, </w:t>
      </w:r>
      <w:r>
        <w:rPr>
          <w:sz w:val="28"/>
          <w:szCs w:val="28"/>
          <w:lang w:val="tt-RU"/>
        </w:rPr>
        <w:t xml:space="preserve">р</w:t>
      </w:r>
      <w:r>
        <w:rPr>
          <w:sz w:val="28"/>
          <w:szCs w:val="28"/>
        </w:rPr>
        <w:t xml:space="preserve">одному (татарскому) языку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литературе на родном (татарском) языке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истории </w:t>
      </w:r>
      <w:r>
        <w:rPr>
          <w:sz w:val="28"/>
          <w:szCs w:val="28"/>
        </w:rPr>
        <w:t xml:space="preserve">края (Республики </w:t>
      </w:r>
      <w:r>
        <w:rPr>
          <w:sz w:val="28"/>
          <w:szCs w:val="28"/>
        </w:rPr>
        <w:t xml:space="preserve">Татарстан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включены в федеральный перечень учебников.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населения ли</w:t>
      </w:r>
      <w:r>
        <w:rPr>
          <w:sz w:val="28"/>
          <w:szCs w:val="28"/>
        </w:rPr>
        <w:t xml:space="preserve">тературой на родном языке фонды городских и сельских библиотек ежегодно пополняются литературой на языках народов, представители которых проживают в Республике Татарстан. Доля национальной литературы на языках народов Российской Федерации в составе фондов </w:t>
      </w:r>
      <w:r>
        <w:rPr>
          <w:sz w:val="28"/>
          <w:szCs w:val="28"/>
        </w:rPr>
        <w:t xml:space="preserve">общедоступных библиотек составляет </w:t>
      </w:r>
      <w:r>
        <w:rPr>
          <w:sz w:val="28"/>
          <w:szCs w:val="28"/>
        </w:rPr>
        <w:t xml:space="preserve">свыше 26 процентов,</w:t>
      </w:r>
      <w:r>
        <w:rPr>
          <w:sz w:val="28"/>
          <w:szCs w:val="28"/>
        </w:rPr>
        <w:t xml:space="preserve"> что является одним из лучших показателей по стране. Осуществляется издательская деятельность на языках народов, </w:t>
      </w:r>
      <w:r>
        <w:rPr>
          <w:sz w:val="28"/>
          <w:szCs w:val="28"/>
        </w:rPr>
        <w:t xml:space="preserve">представители которых </w:t>
      </w:r>
      <w:r>
        <w:rPr>
          <w:sz w:val="28"/>
          <w:szCs w:val="28"/>
        </w:rPr>
        <w:t xml:space="preserve">проживаю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в Республике Татарстан. С целью сохранения памятников письменной культуры и обеспечения доступа к данным материалам исследователей и общественности продолжена работа по созданию электронной информационной базы письменного наследия</w:t>
      </w:r>
      <w:r>
        <w:rPr>
          <w:sz w:val="28"/>
          <w:szCs w:val="28"/>
        </w:rPr>
        <w:t xml:space="preserve"> русского и татарского народов «Книга»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«Китап»</w:t>
      </w:r>
      <w:r>
        <w:rPr>
          <w:sz w:val="28"/>
          <w:szCs w:val="28"/>
        </w:rPr>
        <w:t xml:space="preserve"> при Национальной библиотеке Республики Татарстан.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Самым главным достижением, показателем эффективности языковой политики является поддержание сложившейся атмосферы конструктивного взаимодействия языков, ус</w:t>
      </w:r>
      <w:r>
        <w:rPr>
          <w:sz w:val="28"/>
          <w:szCs w:val="28"/>
        </w:rPr>
        <w:t xml:space="preserve">тойчивого баланса национально-языковых интересов многонационального народа Татарстана. Их объективному изучению и внесению своевременных коррективов в реализуемые мероприятия способствует проведение мониторинга этноязыковой ситуации в Республике Татарстан.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. Описание приоритетов и целей государственной политики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ind w:left="0" w:right="0"/>
        <w:spacing w:before="0" w:after="0"/>
        <w:widowControl w:val="off"/>
      </w:pPr>
      <w:r>
        <w:rPr>
          <w:sz w:val="28"/>
          <w:szCs w:val="28"/>
        </w:rPr>
        <w:t xml:space="preserve">Республики Татарстан в сфере реализации государственной программы </w:t>
      </w:r>
      <w:r/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Республики Татарстан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Приоритеты государственной программы Республики Татарстан соответствуют Стратегии государственной национальной политики Российской Федерации на период до 20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года, утвержденной Указом Президента Российской Федерации от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25 ноября 2025 года № 858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«О Стратегии государственной национальной политики Российской Федерации на период до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2036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года», Указу Президента Российской Федерации от 7 мая 2024 года 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309 «О национальных целях развития Российской Федерации на период до 2030 года и на перспективу до 2036 года», Указу Президента Российской Федерации от 11 июля 2025 года № 474 «Об утверждении Основ государственной языковой политики Российской Федерации»,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Указу Президента Российской Федерации от 9 ноября 2022 года № 809  «Об утверждении Основ государственной политики по сохранению и укреплению традиционных российских духовно-нравственных ценностей»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Единому плану по достижению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национальных целей развития Ро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ссийской Федерации на период </w:t>
      </w:r>
      <w:r>
        <w:rPr>
          <w:rFonts w:ascii="Times New Roman" w:hAnsi="Times New Roman" w:cs="Times New Roman"/>
          <w:sz w:val="28"/>
          <w:szCs w:val="28"/>
          <w:highlight w:val="white"/>
          <w:u w:val="none"/>
          <w:lang w:eastAsia="en-US"/>
        </w:rPr>
        <w:t xml:space="preserve">до 2024 года и на плановый период до 2030 года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u w:val="non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утвержденному распоряжением Правительства Российской Федерации от 1 октября 2021 г. № 2765-р, Стратегии социально-экономического развития Республики Татарстан до 2030 года, утвержденной Законом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Татарстан от 17 июня 2015 года № 40-ЗРТ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 утверждении Стратегии социально-экономического развития Ре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спублики Татарстан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 2030 года»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Стратегия-2030), а также Концепции государственной национальной политики в Республике Татарстан, утвержденной Указом Президента Республики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Татарстан от 3 июля 2008 года № УП-312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 утверждении Концепции государственной национальной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политики в Республике Татарстан»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Государственная программа Республики 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атарстан разработана на основе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принципа гармоничного развития и взаимодействия языков, соблюдения устойчивого баланса национально-языковых интересов представителей народов, проживающих в республике.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Цель государственной программы Республики Татарстан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создание условий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сохранения</w:t>
      </w:r>
      <w:r>
        <w:rPr>
          <w:rFonts w:ascii="Times New Roman" w:hAnsi="Times New Roman" w:eastAsia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обеспечения использования русского языка как государственного языка Российской Федерации, родного языка и языка межнационального общения и интеграции,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сохранения, изучения и развития татарского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языка как государственного языка Республики Татарстан и как родного языка, функционирования русского и татарского языков как государственных языков республики, сохранения и поддержки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других языков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народов, представители которых проживают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Республике Татарстан, а также татарского языка за пределами Республики Татарстан, которая характеризуется достижением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2030 году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следующих показателей: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достижение доли граждан Российской Федерации, удовлетворенных качеством обеспечения своих языковых потребностей – не ниже 80 процентов;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обеспечение доли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уличных указателей, оформленных на государственных языках Республики Татарстан, в общем количестве уличных указателей – не менее </w:t>
      </w:r>
      <w:r>
        <w:rPr>
          <w:rFonts w:ascii="Times New Roman" w:hAnsi="Times New Roman" w:eastAsia="Times New Roman" w:cs="Times New Roman"/>
          <w:sz w:val="28"/>
          <w:szCs w:val="28"/>
        </w:rPr>
        <w:br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90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процентов;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обеспечение доли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нормативных правовых актов, опубликованных в установленном порядке на государственных языках Республики Татарстан на </w:t>
      </w:r>
      <w:r>
        <w:rPr>
          <w:rFonts w:ascii="Times New Roman" w:hAnsi="Times New Roman" w:eastAsia="Times New Roman" w:cs="Times New Roman"/>
          <w:sz w:val="28"/>
          <w:szCs w:val="28"/>
        </w:rPr>
        <w:br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100 процентов;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обеспечение доли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обеспеченности территорий и помещений железнодорожных и речных вокзалов, автовокзалов и аэропортов информационным обслуживанием населения на государственных языках Республики Татарстан – не менее </w:t>
      </w:r>
      <w:r>
        <w:rPr>
          <w:rFonts w:ascii="Times New Roman" w:hAnsi="Times New Roman" w:eastAsia="Times New Roman" w:cs="Times New Roman"/>
          <w:sz w:val="28"/>
          <w:szCs w:val="28"/>
        </w:rPr>
        <w:br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90 процентов;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достижение доли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средств внешней и внутренней визуальной информации, оформленной на двух государственных языках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 не менее 90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процентов;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достижение доли</w:t>
      </w:r>
      <w: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оцифрованных документов печатного (письменного) наследия русского и татарского народов, хранящихся в архивах, научных центрах, библиотеках республики, не ниже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90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процентов;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обеспечение общеобразовательных организаций печатными и (или) электронными учебными изданиями (включая учебники и учебные пособия)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родным (русскому, татарскому, чувашскому, удмуртскому, марийскому, мордовскому, башкирскому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языкам и литературам на 100 процентов;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обеспечение продвижения и защиты традиционных духовно-нравственных ценностей народов республики в рамках не менее 70 процентов проектов программы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Мероприятия государственной программы Республики Татарстан охватывают все основные аспекты сохранения и развития языков в Республике Татарстан, а именно: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52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Организационно-правовое и аналитическое обеспечение функционирования и изучения государственных языков Республики Татарстан и других языков народов, проживающих в Республике Татарстан.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52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  <w:lang w:val="tt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Научное и научно-методическое сопровождение деятельности по сохранению, развитию и поддержке государственных языков Республики Татарстан и других языков народов, проживающих в Республике Татарстан.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52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Поддержка паритетного функционирования русского и татарского языков как государственных языков Республики Татарстан.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52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 Развитие целостной системы изучения татарского и русского языков, других языков народов, проживающих в Республике Татарстан; организационное и учебно-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методическое сопровождение систем би- и полилингвального </w:t>
      </w:r>
      <w:bookmarkStart w:id="1" w:name="_GoBack"/>
      <w:r/>
      <w:bookmarkEnd w:id="1"/>
      <w:r>
        <w:rPr>
          <w:rFonts w:ascii="Times New Roman" w:hAnsi="Times New Roman" w:eastAsia="Times New Roman" w:cs="Times New Roman"/>
          <w:sz w:val="28"/>
          <w:szCs w:val="28"/>
        </w:rPr>
        <w:t xml:space="preserve">образования в Республике Татарстан.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52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5. Поддержка изучения татарского языка и обучения на татарском языке за пределами Республики Татарстан.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52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6. Проведение крупных социально значимых мероприятий, направленных на популяризацию государственных языков Республики Татарстан и других языков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Республике Татарстан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 пределами Республики Татарстан.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52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7.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Создание благоприятной языковой среды в интернет-пространстве и популяризация родных языков в средствах массовой информации.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20"/>
        <w:jc w:val="both"/>
        <w:spacing w:after="0" w:line="252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889"/>
        <w:ind w:firstLine="0"/>
        <w:jc w:val="center"/>
        <w:spacing w:before="0" w:after="0" w:line="252" w:lineRule="auto"/>
        <w:widowControl w:val="off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III</w:t>
      </w:r>
      <w:r>
        <w:rPr>
          <w:sz w:val="28"/>
          <w:szCs w:val="28"/>
        </w:rPr>
        <w:t xml:space="preserve">. Сведения о взаимосвязи со стратегическими приоритетами, национальными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0"/>
        <w:jc w:val="center"/>
        <w:spacing w:before="0" w:after="0" w:line="252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целями и целями Стратегии</w:t>
      </w:r>
      <w:r>
        <w:rPr>
          <w:sz w:val="28"/>
          <w:szCs w:val="28"/>
          <w:lang w:val="tt-RU"/>
        </w:rPr>
        <w:t xml:space="preserve">-</w:t>
      </w:r>
      <w:r>
        <w:rPr>
          <w:sz w:val="28"/>
          <w:szCs w:val="28"/>
        </w:rPr>
        <w:t xml:space="preserve">2030, показателями государственных программ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0"/>
        <w:jc w:val="center"/>
        <w:spacing w:before="0" w:after="0" w:line="252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spacing w:before="0" w:after="0" w:line="252" w:lineRule="auto"/>
        <w:widowControl w:val="off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</w:r>
    </w:p>
    <w:p>
      <w:pPr>
        <w:ind w:firstLine="709"/>
        <w:jc w:val="both"/>
        <w:spacing w:after="0" w:line="252" w:lineRule="auto"/>
        <w:widowControl w:val="o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Система целеполагания и задачи государственной программы Республики Татарстан сформированы с учетом </w:t>
      </w:r>
      <w:hyperlink r:id="rId11" w:tooltip="https://login.consultant.ru/link/?req=doc&amp;base=LAW&amp;n=475991" w:history="1"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Указа</w:t>
        </w:r>
      </w:hyperlink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Президента Российско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й Федерации от 7 мая 2024 года № 309 «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 национальных целях развития Российской Федерации на период до 2030 год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 и на перспективу до 2036 года»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Единого </w:t>
      </w:r>
      <w:hyperlink r:id="rId12" w:tooltip="https://login.consultant.ru/link/?req=doc&amp;base=LAW&amp;n=398015" w:history="1"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плана</w:t>
        </w:r>
      </w:hyperlink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 достижению национальных целей развития Российской Федерации на период до 2024 года и на плановый период до 2030 года, утвержденного распоряжением Правительства Российской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Федерации от 1 октября 2021 г. №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2765-р, а также </w:t>
      </w:r>
      <w:hyperlink r:id="rId13" w:tooltip="https://login.consultant.ru/link/?req=doc&amp;base=RLAW363&amp;n=145010&amp;dst=100014" w:history="1"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Стратегии-2030</w:t>
        </w:r>
      </w:hyperlink>
      <w:r>
        <w:rPr>
          <w:rFonts w:ascii="Times New Roman" w:hAnsi="Times New Roman" w:cs="Times New Roman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p>
      <w:pPr>
        <w:ind w:firstLine="709"/>
        <w:jc w:val="both"/>
        <w:spacing w:after="0" w:line="252" w:lineRule="auto"/>
        <w:widowControl w:val="o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Реализация государственной программы Республики Татарстан будет непосредственно направлена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:</w:t>
      </w: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p>
      <w:pPr>
        <w:ind w:firstLine="709"/>
        <w:jc w:val="both"/>
        <w:spacing w:after="0" w:line="252" w:lineRule="auto"/>
        <w:widowControl w:val="o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1)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достижение национальных целей развития Российской Федерации на период до 2030 года и на перспективу до 2036 года;</w:t>
      </w: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p>
      <w:pPr>
        <w:ind w:firstLine="709"/>
        <w:jc w:val="both"/>
        <w:spacing w:after="0" w:line="252" w:lineRule="auto"/>
        <w:widowControl w:val="o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2)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реализацию Стратегии государственной национальной политики Российской Федерации на период до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2036 года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;</w:t>
      </w: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p>
      <w:pPr>
        <w:ind w:firstLine="709"/>
        <w:jc w:val="both"/>
        <w:spacing w:after="0" w:line="252" w:lineRule="auto"/>
        <w:widowControl w:val="o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3)</w:t>
      </w:r>
      <w:r>
        <w:rPr>
          <w:rFonts w:ascii="Times New Roman" w:hAnsi="Times New Roman" w:cs="Times New Roman"/>
          <w:b/>
          <w:sz w:val="28"/>
          <w:szCs w:val="28"/>
          <w:lang w:val="tt-RU" w:eastAsia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реализацию Основ государственной языковой политики Российской Федерации;</w:t>
      </w: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p>
      <w:pPr>
        <w:ind w:firstLine="709"/>
        <w:jc w:val="both"/>
        <w:spacing w:after="0" w:line="252" w:lineRule="auto"/>
        <w:widowControl w:val="o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4) реализацию Основ государственной политики по сохранению и укреплению традиционных российских духовно-нравственных ценностей</w:t>
      </w: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p>
      <w:pPr>
        <w:ind w:firstLine="709"/>
        <w:jc w:val="both"/>
        <w:spacing w:after="0" w:line="252" w:lineRule="auto"/>
        <w:widowControl w:val="o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5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реализацию Стратегии социально-экономического развития Республики Татарстан до 2030 года;</w:t>
      </w: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p>
      <w:pPr>
        <w:ind w:firstLine="709"/>
        <w:jc w:val="both"/>
        <w:spacing w:after="0" w:line="252" w:lineRule="auto"/>
        <w:widowControl w:val="o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6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)</w:t>
      </w:r>
      <w:r>
        <w:rPr>
          <w:rFonts w:ascii="Times New Roman" w:hAnsi="Times New Roman" w:cs="Times New Roman"/>
          <w:sz w:val="28"/>
          <w:szCs w:val="28"/>
          <w:lang w:val="tt-RU" w:eastAsia="en-US"/>
        </w:rPr>
        <w:t xml:space="preserve"> 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реализацию Концепции государственной национальной политики в Республике Татарстан.</w:t>
      </w: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p>
      <w:pPr>
        <w:ind w:firstLine="709"/>
        <w:jc w:val="both"/>
        <w:spacing w:after="0" w:line="252" w:lineRule="auto"/>
        <w:widowControl w:val="off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</w:r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IV</w:t>
      </w:r>
      <w:r>
        <w:rPr>
          <w:sz w:val="28"/>
          <w:szCs w:val="28"/>
        </w:rPr>
        <w:t xml:space="preserve">. Задачи государственного управления, способы их эффективного решения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ind w:left="0" w:right="0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 отраслях экономики и сфере государственного управления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Для достижения цели государственной программы Республики Татарстан решаются следующие задачи: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укрепление общероссийской гражданской идентичности (гражданского самосознания) на основе традиционных российских духовно-нравственных и </w:t>
      </w:r>
      <w:r>
        <w:rPr>
          <w:sz w:val="28"/>
          <w:szCs w:val="28"/>
        </w:rPr>
        <w:t xml:space="preserve">культурно-исторических ценностей;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обеспечение продвижения и защиты традиционных российских духовно-нравственных ценностей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709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сохранение и обеспечение использования русского языка как государственного языка Российской Федерации, родного языка и языка межнационального общения и интеграции;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совершенствование нормативного правового обеспечения языковой политики в Республике Татарстан;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сохранение и поддержка этнокультурного и языкового многообразия, укрепление духовной общности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народов, проживающих в Республике Татарстан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создание оптимальных условий для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использования,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сохранения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поддержки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государственных языков Республики Татарстан и языков народов, проживающих в Республике Татарстан;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обеспечение прав граждан 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сохранение родного языка, создание условий для его изучения и развития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создание оптимальных усл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овий для получения дошкольного, начального общего и основного общего образования на родном языке из числа языков народов Российской Федерации и для изучения родного языка из числа языков народов Российской Федерации, в том числе русского языка как родного;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поддержка изучения татарского языка и обучения на татарском языке за пределами Республики Татарстан;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развитие поликультурной модели образования и укрепление гражданской идентичности;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развитие системы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би- и полилингвального образования как эффективного пути сохранения и развития этнокультурного и языкового многообразия российского государства;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создание необходимых материальных и организационных условий для овладения гражданами государственным языком Российской Федерации,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государственными языками Республики Татарстан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родными языками;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оказание содействия при производстве теле- и радиопрограмм, аудио- и видео</w:t>
      </w:r>
      <w:r>
        <w:rPr>
          <w:rFonts w:ascii="Times New Roman" w:hAnsi="Times New Roman" w:eastAsia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материалов, создании интернет-ресурсов;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val="tt-RU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мониторинг этноязыковой ситуации в Республике Татарстан.</w:t>
      </w:r>
      <w:r>
        <w:rPr>
          <w:rFonts w:ascii="Times New Roman" w:hAnsi="Times New Roman" w:eastAsia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tt-RU"/>
        </w:rPr>
      </w:r>
      <w:r>
        <w:rPr>
          <w:rFonts w:ascii="Times New Roman" w:hAnsi="Times New Roman" w:eastAsia="Times New Roman" w:cs="Times New Roman"/>
          <w:sz w:val="28"/>
          <w:szCs w:val="28"/>
          <w:lang w:val="tt-RU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134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07786855"/>
      <w:docPartObj>
        <w:docPartGallery w:val="Page Numbers (Top of Page)"/>
        <w:docPartUnique w:val="true"/>
      </w:docPartObj>
      <w:rPr/>
    </w:sdtPr>
    <w:sdtContent>
      <w:p>
        <w:pPr>
          <w:pStyle w:val="739"/>
          <w:jc w:val="center"/>
          <w:rPr>
            <w:rFonts w:ascii="Times New Roman" w:hAnsi="Times New Roman" w:cs="Times New Roman"/>
            <w:sz w:val="28"/>
            <w:szCs w:val="24"/>
          </w:rPr>
        </w:pPr>
        <w:r>
          <w:rPr>
            <w:rFonts w:ascii="Times New Roman" w:hAnsi="Times New Roman" w:cs="Times New Roman"/>
            <w:sz w:val="28"/>
            <w:szCs w:val="24"/>
          </w:rPr>
          <w:fldChar w:fldCharType="begin"/>
        </w:r>
        <w:r>
          <w:rPr>
            <w:rFonts w:ascii="Times New Roman" w:hAnsi="Times New Roman" w:cs="Times New Roman"/>
            <w:sz w:val="28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4"/>
          </w:rPr>
          <w:fldChar w:fldCharType="separate"/>
        </w:r>
        <w:r>
          <w:rPr>
            <w:rFonts w:ascii="Times New Roman" w:hAnsi="Times New Roman" w:cs="Times New Roman"/>
            <w:sz w:val="28"/>
            <w:szCs w:val="24"/>
          </w:rPr>
          <w:t xml:space="preserve">7</w:t>
        </w:r>
        <w:r>
          <w:rPr>
            <w:rFonts w:ascii="Times New Roman" w:hAnsi="Times New Roman" w:cs="Times New Roman"/>
            <w:sz w:val="28"/>
            <w:szCs w:val="24"/>
          </w:rPr>
          <w:fldChar w:fldCharType="end"/>
        </w:r>
        <w:r>
          <w:rPr>
            <w:rFonts w:ascii="Times New Roman" w:hAnsi="Times New Roman" w:cs="Times New Roman"/>
            <w:sz w:val="28"/>
            <w:szCs w:val="24"/>
          </w:rPr>
        </w:r>
        <w:r>
          <w:rPr>
            <w:rFonts w:ascii="Times New Roman" w:hAnsi="Times New Roman" w:cs="Times New Roman"/>
            <w:sz w:val="28"/>
            <w:szCs w:val="24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12"/>
  </w:num>
  <w:num w:numId="5">
    <w:abstractNumId w:val="9"/>
  </w:num>
  <w:num w:numId="6">
    <w:abstractNumId w:val="6"/>
  </w:num>
  <w:num w:numId="7">
    <w:abstractNumId w:val="7"/>
  </w:num>
  <w:num w:numId="8">
    <w:abstractNumId w:val="11"/>
  </w:num>
  <w:num w:numId="9">
    <w:abstractNumId w:val="4"/>
  </w:num>
  <w:num w:numId="10">
    <w:abstractNumId w:val="2"/>
  </w:num>
  <w:num w:numId="11">
    <w:abstractNumId w:val="0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1" w:default="1">
    <w:name w:val="Normal"/>
    <w:pPr>
      <w:spacing w:after="160" w:line="259" w:lineRule="auto"/>
    </w:pPr>
    <w:rPr>
      <w:rFonts w:cs="Calibri"/>
      <w:sz w:val="22"/>
      <w:szCs w:val="22"/>
      <w:lang w:eastAsia="ru-RU"/>
    </w:rPr>
  </w:style>
  <w:style w:type="paragraph" w:styleId="702">
    <w:name w:val="Heading 1"/>
    <w:basedOn w:val="701"/>
    <w:next w:val="701"/>
    <w:link w:val="900"/>
    <w:pPr>
      <w:jc w:val="center"/>
      <w:spacing w:before="108" w:after="108" w:line="240" w:lineRule="auto"/>
      <w:widowControl w:val="off"/>
      <w:outlineLvl w:val="0"/>
    </w:pPr>
    <w:rPr>
      <w:rFonts w:ascii="Times New Roman" w:hAnsi="Times New Roman" w:eastAsia="Times New Roman" w:cs="Times New Roman"/>
      <w:b/>
      <w:color w:val="26282f"/>
      <w:sz w:val="24"/>
      <w:szCs w:val="24"/>
    </w:rPr>
  </w:style>
  <w:style w:type="paragraph" w:styleId="703">
    <w:name w:val="Heading 2"/>
    <w:basedOn w:val="701"/>
    <w:next w:val="701"/>
    <w:link w:val="901"/>
    <w:pPr>
      <w:keepLines/>
      <w:keepNext/>
      <w:spacing w:before="40" w:after="0"/>
      <w:outlineLvl w:val="1"/>
    </w:pPr>
    <w:rPr>
      <w:color w:val="2e75b5"/>
      <w:sz w:val="26"/>
      <w:szCs w:val="26"/>
    </w:rPr>
  </w:style>
  <w:style w:type="paragraph" w:styleId="704">
    <w:name w:val="Heading 3"/>
    <w:basedOn w:val="701"/>
    <w:next w:val="701"/>
    <w:link w:val="902"/>
    <w:pPr>
      <w:keepLines/>
      <w:keepNext/>
      <w:spacing w:before="40" w:after="0"/>
      <w:outlineLvl w:val="2"/>
    </w:pPr>
    <w:rPr>
      <w:color w:val="1e4d78"/>
      <w:sz w:val="24"/>
      <w:szCs w:val="24"/>
    </w:rPr>
  </w:style>
  <w:style w:type="paragraph" w:styleId="705">
    <w:name w:val="Heading 4"/>
    <w:basedOn w:val="701"/>
    <w:next w:val="701"/>
    <w:link w:val="903"/>
    <w:pPr>
      <w:keepLines/>
      <w:keepNext/>
      <w:spacing w:before="240" w:after="40"/>
      <w:outlineLvl w:val="3"/>
    </w:pPr>
    <w:rPr>
      <w:b/>
      <w:sz w:val="24"/>
      <w:szCs w:val="24"/>
    </w:rPr>
  </w:style>
  <w:style w:type="paragraph" w:styleId="706">
    <w:name w:val="Heading 5"/>
    <w:basedOn w:val="701"/>
    <w:next w:val="701"/>
    <w:link w:val="904"/>
    <w:pPr>
      <w:keepLines/>
      <w:keepNext/>
      <w:spacing w:before="220" w:after="40"/>
      <w:outlineLvl w:val="4"/>
    </w:pPr>
    <w:rPr>
      <w:b/>
    </w:rPr>
  </w:style>
  <w:style w:type="paragraph" w:styleId="707">
    <w:name w:val="Heading 6"/>
    <w:basedOn w:val="701"/>
    <w:next w:val="701"/>
    <w:link w:val="905"/>
    <w:pPr>
      <w:keepLines/>
      <w:keepNext/>
      <w:spacing w:before="200" w:after="40"/>
      <w:outlineLvl w:val="5"/>
    </w:pPr>
    <w:rPr>
      <w:b/>
      <w:sz w:val="20"/>
      <w:szCs w:val="20"/>
    </w:rPr>
  </w:style>
  <w:style w:type="paragraph" w:styleId="708">
    <w:name w:val="Heading 7"/>
    <w:basedOn w:val="701"/>
    <w:next w:val="701"/>
    <w:link w:val="7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9">
    <w:name w:val="Heading 8"/>
    <w:basedOn w:val="701"/>
    <w:next w:val="701"/>
    <w:link w:val="7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10">
    <w:name w:val="Heading 9"/>
    <w:basedOn w:val="701"/>
    <w:next w:val="701"/>
    <w:link w:val="7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 w:default="1">
    <w:name w:val="Default Paragraph Font"/>
    <w:uiPriority w:val="1"/>
    <w:semiHidden/>
    <w:unhideWhenUsed/>
  </w:style>
  <w:style w:type="table" w:styleId="7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3" w:default="1">
    <w:name w:val="No List"/>
    <w:uiPriority w:val="99"/>
    <w:semiHidden/>
    <w:unhideWhenUsed/>
  </w:style>
  <w:style w:type="character" w:styleId="714" w:customStyle="1">
    <w:name w:val="Heading 7 Char"/>
    <w:basedOn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5" w:customStyle="1">
    <w:name w:val="Heading 8 Char"/>
    <w:basedOn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16" w:customStyle="1">
    <w:name w:val="Heading 9 Char"/>
    <w:basedOn w:val="711"/>
    <w:uiPriority w:val="9"/>
    <w:rPr>
      <w:rFonts w:ascii="Arial" w:hAnsi="Arial" w:eastAsia="Arial" w:cs="Arial"/>
      <w:i/>
      <w:iCs/>
      <w:sz w:val="21"/>
      <w:szCs w:val="21"/>
    </w:rPr>
  </w:style>
  <w:style w:type="character" w:styleId="717" w:customStyle="1">
    <w:name w:val="Quote Char"/>
    <w:uiPriority w:val="29"/>
    <w:rPr>
      <w:i/>
    </w:rPr>
  </w:style>
  <w:style w:type="character" w:styleId="718" w:customStyle="1">
    <w:name w:val="Intense Quote Char"/>
    <w:uiPriority w:val="30"/>
    <w:rPr>
      <w:i/>
    </w:rPr>
  </w:style>
  <w:style w:type="character" w:styleId="719" w:customStyle="1">
    <w:name w:val="Endnote Text Char"/>
    <w:uiPriority w:val="99"/>
    <w:rPr>
      <w:sz w:val="20"/>
    </w:rPr>
  </w:style>
  <w:style w:type="character" w:styleId="720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Heading 2 Char"/>
    <w:uiPriority w:val="9"/>
    <w:rPr>
      <w:rFonts w:ascii="Arial" w:hAnsi="Arial" w:eastAsia="Arial" w:cs="Arial"/>
      <w:sz w:val="34"/>
    </w:rPr>
  </w:style>
  <w:style w:type="character" w:styleId="722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link w:val="709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List Paragraph"/>
    <w:basedOn w:val="701"/>
    <w:uiPriority w:val="34"/>
    <w:qFormat/>
    <w:pPr>
      <w:contextualSpacing/>
      <w:ind w:left="720"/>
    </w:pPr>
  </w:style>
  <w:style w:type="paragraph" w:styleId="730">
    <w:name w:val="No Spacing"/>
    <w:uiPriority w:val="1"/>
    <w:qFormat/>
  </w:style>
  <w:style w:type="paragraph" w:styleId="731">
    <w:name w:val="Title"/>
    <w:basedOn w:val="701"/>
    <w:next w:val="701"/>
    <w:link w:val="907"/>
    <w:pPr>
      <w:keepLines/>
      <w:keepNext/>
      <w:spacing w:before="480" w:after="120"/>
    </w:pPr>
    <w:rPr>
      <w:b/>
      <w:sz w:val="72"/>
      <w:szCs w:val="72"/>
    </w:rPr>
  </w:style>
  <w:style w:type="character" w:styleId="732" w:customStyle="1">
    <w:name w:val="Title Char"/>
    <w:uiPriority w:val="10"/>
    <w:rPr>
      <w:sz w:val="48"/>
      <w:szCs w:val="48"/>
    </w:rPr>
  </w:style>
  <w:style w:type="paragraph" w:styleId="733">
    <w:name w:val="Subtitle"/>
    <w:basedOn w:val="701"/>
    <w:next w:val="701"/>
    <w:link w:val="908"/>
    <w:rPr>
      <w:color w:val="5a5a5a"/>
    </w:rPr>
  </w:style>
  <w:style w:type="character" w:styleId="734" w:customStyle="1">
    <w:name w:val="Subtitle Char"/>
    <w:uiPriority w:val="11"/>
    <w:rPr>
      <w:sz w:val="24"/>
      <w:szCs w:val="24"/>
    </w:rPr>
  </w:style>
  <w:style w:type="paragraph" w:styleId="735">
    <w:name w:val="Quote"/>
    <w:basedOn w:val="701"/>
    <w:next w:val="701"/>
    <w:link w:val="736"/>
    <w:uiPriority w:val="29"/>
    <w:qFormat/>
    <w:pPr>
      <w:ind w:left="720" w:right="720"/>
    </w:pPr>
    <w:rPr>
      <w:i/>
    </w:rPr>
  </w:style>
  <w:style w:type="character" w:styleId="736" w:customStyle="1">
    <w:name w:val="Цитата 2 Знак"/>
    <w:link w:val="735"/>
    <w:uiPriority w:val="29"/>
    <w:rPr>
      <w:i/>
    </w:rPr>
  </w:style>
  <w:style w:type="paragraph" w:styleId="737">
    <w:name w:val="Intense Quote"/>
    <w:basedOn w:val="701"/>
    <w:next w:val="701"/>
    <w:link w:val="73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8" w:customStyle="1">
    <w:name w:val="Выделенная цитата Знак"/>
    <w:link w:val="737"/>
    <w:uiPriority w:val="30"/>
    <w:rPr>
      <w:i/>
    </w:rPr>
  </w:style>
  <w:style w:type="paragraph" w:styleId="739">
    <w:name w:val="Header"/>
    <w:basedOn w:val="701"/>
    <w:link w:val="89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40" w:customStyle="1">
    <w:name w:val="Header Char"/>
    <w:uiPriority w:val="99"/>
  </w:style>
  <w:style w:type="paragraph" w:styleId="741">
    <w:name w:val="Footer"/>
    <w:basedOn w:val="701"/>
    <w:link w:val="89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42" w:customStyle="1">
    <w:name w:val="Footer Char"/>
    <w:uiPriority w:val="99"/>
  </w:style>
  <w:style w:type="paragraph" w:styleId="743">
    <w:name w:val="Caption"/>
    <w:basedOn w:val="701"/>
    <w:next w:val="70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4" w:customStyle="1">
    <w:name w:val="Caption Char"/>
    <w:uiPriority w:val="99"/>
  </w:style>
  <w:style w:type="table" w:styleId="745">
    <w:name w:val="Table Grid"/>
    <w:basedOn w:val="712"/>
    <w:uiPriority w:val="39"/>
    <w:rPr>
      <w:rFonts w:cs="Calibri"/>
      <w:lang w:eastAsia="ru-RU"/>
    </w:rPr>
    <w:tblPr/>
  </w:style>
  <w:style w:type="table" w:styleId="746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5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6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7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8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9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0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7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8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9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0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1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2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3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4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7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8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9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0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1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2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3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7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8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9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0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1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2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3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4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5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6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7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8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9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0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1">
    <w:name w:val="Hyperlink"/>
    <w:uiPriority w:val="99"/>
    <w:unhideWhenUsed/>
    <w:rPr>
      <w:color w:val="0000ff"/>
      <w:u w:val="single"/>
    </w:rPr>
  </w:style>
  <w:style w:type="paragraph" w:styleId="872">
    <w:name w:val="footnote text"/>
    <w:basedOn w:val="701"/>
    <w:link w:val="91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73" w:customStyle="1">
    <w:name w:val="Footnote Text Char"/>
    <w:uiPriority w:val="99"/>
    <w:rPr>
      <w:sz w:val="18"/>
    </w:rPr>
  </w:style>
  <w:style w:type="character" w:styleId="874">
    <w:name w:val="footnote reference"/>
    <w:uiPriority w:val="99"/>
    <w:semiHidden/>
    <w:unhideWhenUsed/>
    <w:rPr>
      <w:vertAlign w:val="superscript"/>
    </w:rPr>
  </w:style>
  <w:style w:type="paragraph" w:styleId="875">
    <w:name w:val="endnote text"/>
    <w:basedOn w:val="701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876" w:customStyle="1">
    <w:name w:val="Текст концевой сноски Знак"/>
    <w:link w:val="875"/>
    <w:uiPriority w:val="99"/>
    <w:rPr>
      <w:sz w:val="20"/>
    </w:rPr>
  </w:style>
  <w:style w:type="character" w:styleId="877">
    <w:name w:val="endnote reference"/>
    <w:uiPriority w:val="99"/>
    <w:semiHidden/>
    <w:unhideWhenUsed/>
    <w:rPr>
      <w:vertAlign w:val="superscript"/>
    </w:rPr>
  </w:style>
  <w:style w:type="paragraph" w:styleId="878">
    <w:name w:val="toc 1"/>
    <w:basedOn w:val="701"/>
    <w:next w:val="701"/>
    <w:uiPriority w:val="39"/>
    <w:unhideWhenUsed/>
    <w:pPr>
      <w:spacing w:after="57"/>
    </w:pPr>
  </w:style>
  <w:style w:type="paragraph" w:styleId="879">
    <w:name w:val="toc 2"/>
    <w:basedOn w:val="701"/>
    <w:next w:val="701"/>
    <w:uiPriority w:val="39"/>
    <w:unhideWhenUsed/>
    <w:pPr>
      <w:ind w:left="283"/>
      <w:spacing w:after="57"/>
    </w:pPr>
  </w:style>
  <w:style w:type="paragraph" w:styleId="880">
    <w:name w:val="toc 3"/>
    <w:basedOn w:val="701"/>
    <w:next w:val="701"/>
    <w:uiPriority w:val="39"/>
    <w:unhideWhenUsed/>
    <w:pPr>
      <w:ind w:left="567"/>
      <w:spacing w:after="57"/>
    </w:pPr>
  </w:style>
  <w:style w:type="paragraph" w:styleId="881">
    <w:name w:val="toc 4"/>
    <w:basedOn w:val="701"/>
    <w:next w:val="701"/>
    <w:uiPriority w:val="39"/>
    <w:unhideWhenUsed/>
    <w:pPr>
      <w:ind w:left="850"/>
      <w:spacing w:after="57"/>
    </w:pPr>
  </w:style>
  <w:style w:type="paragraph" w:styleId="882">
    <w:name w:val="toc 5"/>
    <w:basedOn w:val="701"/>
    <w:next w:val="701"/>
    <w:uiPriority w:val="39"/>
    <w:unhideWhenUsed/>
    <w:pPr>
      <w:ind w:left="1134"/>
      <w:spacing w:after="57"/>
    </w:pPr>
  </w:style>
  <w:style w:type="paragraph" w:styleId="883">
    <w:name w:val="toc 6"/>
    <w:basedOn w:val="701"/>
    <w:next w:val="701"/>
    <w:uiPriority w:val="39"/>
    <w:unhideWhenUsed/>
    <w:pPr>
      <w:ind w:left="1417"/>
      <w:spacing w:after="57"/>
    </w:pPr>
  </w:style>
  <w:style w:type="paragraph" w:styleId="884">
    <w:name w:val="toc 7"/>
    <w:basedOn w:val="701"/>
    <w:next w:val="701"/>
    <w:uiPriority w:val="39"/>
    <w:unhideWhenUsed/>
    <w:pPr>
      <w:ind w:left="1701"/>
      <w:spacing w:after="57"/>
    </w:pPr>
  </w:style>
  <w:style w:type="paragraph" w:styleId="885">
    <w:name w:val="toc 8"/>
    <w:basedOn w:val="701"/>
    <w:next w:val="701"/>
    <w:uiPriority w:val="39"/>
    <w:unhideWhenUsed/>
    <w:pPr>
      <w:ind w:left="1984"/>
      <w:spacing w:after="57"/>
    </w:pPr>
  </w:style>
  <w:style w:type="paragraph" w:styleId="886">
    <w:name w:val="toc 9"/>
    <w:basedOn w:val="701"/>
    <w:next w:val="701"/>
    <w:uiPriority w:val="39"/>
    <w:unhideWhenUsed/>
    <w:pPr>
      <w:ind w:left="2268"/>
      <w:spacing w:after="57"/>
    </w:pPr>
  </w:style>
  <w:style w:type="paragraph" w:styleId="887">
    <w:name w:val="TOC Heading"/>
    <w:uiPriority w:val="39"/>
    <w:unhideWhenUsed/>
  </w:style>
  <w:style w:type="paragraph" w:styleId="888">
    <w:name w:val="table of figures"/>
    <w:basedOn w:val="701"/>
    <w:next w:val="701"/>
    <w:uiPriority w:val="99"/>
    <w:unhideWhenUsed/>
    <w:pPr>
      <w:spacing w:after="0"/>
    </w:pPr>
  </w:style>
  <w:style w:type="paragraph" w:styleId="889">
    <w:name w:val="Normal (Web)"/>
    <w:basedOn w:val="701"/>
    <w:uiPriority w:val="99"/>
    <w:unhideWhenUsed/>
    <w:pPr>
      <w:ind w:firstLine="675"/>
      <w:jc w:val="both"/>
      <w:spacing w:before="90" w:after="9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90" w:customStyle="1">
    <w:name w:val="s"/>
    <w:basedOn w:val="701"/>
    <w:uiPriority w:val="99"/>
    <w:semiHidden/>
    <w:pPr>
      <w:ind w:left="5100"/>
      <w:jc w:val="center"/>
      <w:spacing w:before="90" w:after="9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91" w:customStyle="1">
    <w:name w:val="c"/>
    <w:basedOn w:val="701"/>
    <w:uiPriority w:val="99"/>
    <w:semiHidden/>
    <w:pPr>
      <w:ind w:left="675" w:right="675"/>
      <w:jc w:val="center"/>
      <w:spacing w:before="90" w:after="9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92" w:customStyle="1">
    <w:name w:val="t"/>
    <w:basedOn w:val="701"/>
    <w:uiPriority w:val="99"/>
    <w:semiHidden/>
    <w:pPr>
      <w:ind w:left="675" w:right="675"/>
      <w:jc w:val="center"/>
      <w:spacing w:before="90" w:after="90" w:line="240" w:lineRule="auto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93" w:customStyle="1">
    <w:name w:val="w91"/>
    <w:rPr>
      <w:sz w:val="24"/>
      <w:szCs w:val="24"/>
      <w:u w:val="none"/>
      <w:vertAlign w:val="superscript"/>
    </w:rPr>
  </w:style>
  <w:style w:type="character" w:styleId="894" w:customStyle="1">
    <w:name w:val="cmd"/>
    <w:basedOn w:val="711"/>
  </w:style>
  <w:style w:type="paragraph" w:styleId="895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896" w:customStyle="1">
    <w:name w:val="Верхний колонтитул Знак"/>
    <w:link w:val="739"/>
    <w:uiPriority w:val="99"/>
    <w:rPr>
      <w:rFonts w:ascii="Calibri" w:hAnsi="Calibri" w:eastAsia="Calibri" w:cs="Calibri"/>
      <w:lang w:eastAsia="ru-RU"/>
    </w:rPr>
  </w:style>
  <w:style w:type="character" w:styleId="897" w:customStyle="1">
    <w:name w:val="Нижний колонтитул Знак"/>
    <w:link w:val="741"/>
    <w:uiPriority w:val="99"/>
    <w:rPr>
      <w:rFonts w:ascii="Calibri" w:hAnsi="Calibri" w:eastAsia="Calibri" w:cs="Calibri"/>
      <w:lang w:eastAsia="ru-RU"/>
    </w:rPr>
  </w:style>
  <w:style w:type="paragraph" w:styleId="898">
    <w:name w:val="Balloon Text"/>
    <w:basedOn w:val="701"/>
    <w:link w:val="89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9" w:customStyle="1">
    <w:name w:val="Текст выноски Знак"/>
    <w:link w:val="898"/>
    <w:uiPriority w:val="99"/>
    <w:semiHidden/>
    <w:rPr>
      <w:rFonts w:ascii="Segoe UI" w:hAnsi="Segoe UI" w:eastAsia="Calibri" w:cs="Segoe UI"/>
      <w:sz w:val="18"/>
      <w:szCs w:val="18"/>
      <w:lang w:eastAsia="ru-RU"/>
    </w:rPr>
  </w:style>
  <w:style w:type="character" w:styleId="900" w:customStyle="1">
    <w:name w:val="Заголовок 1 Знак"/>
    <w:link w:val="702"/>
    <w:rPr>
      <w:rFonts w:ascii="Times New Roman" w:hAnsi="Times New Roman" w:eastAsia="Times New Roman" w:cs="Times New Roman"/>
      <w:b/>
      <w:color w:val="26282f"/>
      <w:sz w:val="24"/>
      <w:szCs w:val="24"/>
      <w:lang w:eastAsia="ru-RU"/>
    </w:rPr>
  </w:style>
  <w:style w:type="character" w:styleId="901" w:customStyle="1">
    <w:name w:val="Заголовок 2 Знак"/>
    <w:link w:val="703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styleId="902" w:customStyle="1">
    <w:name w:val="Заголовок 3 Знак"/>
    <w:link w:val="704"/>
    <w:rPr>
      <w:rFonts w:ascii="Calibri" w:hAnsi="Calibri" w:eastAsia="Calibri" w:cs="Calibri"/>
      <w:color w:val="1e4d78"/>
      <w:sz w:val="24"/>
      <w:szCs w:val="24"/>
      <w:lang w:eastAsia="ru-RU"/>
    </w:rPr>
  </w:style>
  <w:style w:type="character" w:styleId="903" w:customStyle="1">
    <w:name w:val="Заголовок 4 Знак"/>
    <w:link w:val="705"/>
    <w:rPr>
      <w:rFonts w:ascii="Calibri" w:hAnsi="Calibri" w:eastAsia="Calibri" w:cs="Calibri"/>
      <w:b/>
      <w:sz w:val="24"/>
      <w:szCs w:val="24"/>
      <w:lang w:eastAsia="ru-RU"/>
    </w:rPr>
  </w:style>
  <w:style w:type="character" w:styleId="904" w:customStyle="1">
    <w:name w:val="Заголовок 5 Знак"/>
    <w:link w:val="706"/>
    <w:rPr>
      <w:rFonts w:ascii="Calibri" w:hAnsi="Calibri" w:eastAsia="Calibri" w:cs="Calibri"/>
      <w:b/>
      <w:lang w:eastAsia="ru-RU"/>
    </w:rPr>
  </w:style>
  <w:style w:type="character" w:styleId="905" w:customStyle="1">
    <w:name w:val="Заголовок 6 Знак"/>
    <w:link w:val="707"/>
    <w:rPr>
      <w:rFonts w:ascii="Calibri" w:hAnsi="Calibri" w:eastAsia="Calibri" w:cs="Calibri"/>
      <w:b/>
      <w:sz w:val="20"/>
      <w:szCs w:val="20"/>
      <w:lang w:eastAsia="ru-RU"/>
    </w:rPr>
  </w:style>
  <w:style w:type="table" w:styleId="906" w:customStyle="1">
    <w:name w:val="Table Normal"/>
    <w:pPr>
      <w:spacing w:after="160" w:line="259" w:lineRule="auto"/>
    </w:pPr>
    <w:rPr>
      <w:rFonts w:cs="Calibri"/>
      <w:sz w:val="22"/>
      <w:szCs w:val="22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907" w:customStyle="1">
    <w:name w:val="Заголовок Знак"/>
    <w:link w:val="731"/>
    <w:rPr>
      <w:rFonts w:ascii="Calibri" w:hAnsi="Calibri" w:eastAsia="Calibri" w:cs="Calibri"/>
      <w:b/>
      <w:sz w:val="72"/>
      <w:szCs w:val="72"/>
      <w:lang w:eastAsia="ru-RU"/>
    </w:rPr>
  </w:style>
  <w:style w:type="character" w:styleId="908" w:customStyle="1">
    <w:name w:val="Подзаголовок Знак"/>
    <w:link w:val="733"/>
    <w:rPr>
      <w:rFonts w:ascii="Calibri" w:hAnsi="Calibri" w:eastAsia="Calibri" w:cs="Calibri"/>
      <w:color w:val="5a5a5a"/>
      <w:lang w:eastAsia="ru-RU"/>
    </w:rPr>
  </w:style>
  <w:style w:type="character" w:styleId="909">
    <w:name w:val="annotation reference"/>
    <w:uiPriority w:val="99"/>
    <w:semiHidden/>
    <w:unhideWhenUsed/>
    <w:rPr>
      <w:sz w:val="16"/>
      <w:szCs w:val="16"/>
    </w:rPr>
  </w:style>
  <w:style w:type="paragraph" w:styleId="910">
    <w:name w:val="annotation text"/>
    <w:basedOn w:val="701"/>
    <w:link w:val="91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1" w:customStyle="1">
    <w:name w:val="Текст примечания Знак"/>
    <w:link w:val="910"/>
    <w:uiPriority w:val="99"/>
    <w:semiHidden/>
    <w:rPr>
      <w:rFonts w:ascii="Calibri" w:hAnsi="Calibri" w:eastAsia="Calibri" w:cs="Calibri"/>
      <w:sz w:val="20"/>
      <w:szCs w:val="20"/>
      <w:lang w:eastAsia="ru-RU"/>
    </w:rPr>
  </w:style>
  <w:style w:type="paragraph" w:styleId="912">
    <w:name w:val="annotation subject"/>
    <w:basedOn w:val="910"/>
    <w:next w:val="910"/>
    <w:link w:val="913"/>
    <w:uiPriority w:val="99"/>
    <w:semiHidden/>
    <w:unhideWhenUsed/>
    <w:rPr>
      <w:b/>
      <w:bCs/>
    </w:rPr>
  </w:style>
  <w:style w:type="character" w:styleId="913" w:customStyle="1">
    <w:name w:val="Тема примечания Знак"/>
    <w:link w:val="912"/>
    <w:uiPriority w:val="99"/>
    <w:semiHidden/>
    <w:rPr>
      <w:rFonts w:ascii="Calibri" w:hAnsi="Calibri" w:eastAsia="Calibri" w:cs="Calibri"/>
      <w:b/>
      <w:bCs/>
      <w:sz w:val="20"/>
      <w:szCs w:val="20"/>
      <w:lang w:eastAsia="ru-RU"/>
    </w:rPr>
  </w:style>
  <w:style w:type="character" w:styleId="914" w:customStyle="1">
    <w:name w:val="Текст сноски Знак"/>
    <w:link w:val="872"/>
    <w:uiPriority w:val="99"/>
    <w:semiHidden/>
    <w:rPr>
      <w:rFonts w:ascii="Calibri" w:hAnsi="Calibri" w:eastAsia="Calibri" w:cs="Calibri"/>
      <w:sz w:val="20"/>
      <w:szCs w:val="20"/>
      <w:lang w:eastAsia="ru-RU"/>
    </w:rPr>
  </w:style>
  <w:style w:type="paragraph" w:styleId="915" w:customStyle="1">
    <w:name w:val="ConsPlusNormal"/>
    <w:pPr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6" w:customStyle="1">
    <w:name w:val="formattext"/>
    <w:basedOn w:val="7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17" w:customStyle="1">
    <w:name w:val="Pa10"/>
    <w:basedOn w:val="895"/>
    <w:next w:val="895"/>
    <w:uiPriority w:val="99"/>
    <w:pPr>
      <w:spacing w:line="221" w:lineRule="atLeast"/>
    </w:pPr>
    <w:rPr>
      <w:rFonts w:ascii="Arial" w:hAnsi="Arial" w:cs="Arial"/>
      <w:color w:val="auto"/>
      <w:lang w:eastAsia="zh-CN"/>
    </w:rPr>
  </w:style>
  <w:style w:type="character" w:styleId="918" w:customStyle="1">
    <w:name w:val="A1+1"/>
    <w:uiPriority w:val="99"/>
    <w:rPr>
      <w:color w:val="000000"/>
      <w:sz w:val="21"/>
      <w:szCs w:val="21"/>
    </w:rPr>
  </w:style>
  <w:style w:type="paragraph" w:styleId="919" w:customStyle="1">
    <w:name w:val="Pa13"/>
    <w:basedOn w:val="895"/>
    <w:next w:val="895"/>
    <w:uiPriority w:val="99"/>
    <w:pPr>
      <w:spacing w:line="221" w:lineRule="atLeast"/>
    </w:pPr>
    <w:rPr>
      <w:rFonts w:ascii="Arial" w:hAnsi="Arial" w:cs="Arial"/>
      <w:color w:val="auto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LAW&amp;n=475991" TargetMode="External"/><Relationship Id="rId12" Type="http://schemas.openxmlformats.org/officeDocument/2006/relationships/hyperlink" Target="https://login.consultant.ru/link/?req=doc&amp;base=LAW&amp;n=398015" TargetMode="External"/><Relationship Id="rId13" Type="http://schemas.openxmlformats.org/officeDocument/2006/relationships/hyperlink" Target="https://login.consultant.ru/link/?req=doc&amp;base=RLAW363&amp;n=145010&amp;dst=10001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BE29B-366E-4B24-9A7C-2E48F6AA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Юлия Алексеевна</dc:creator>
  <cp:revision>7</cp:revision>
  <dcterms:created xsi:type="dcterms:W3CDTF">2026-03-11T14:38:00Z</dcterms:created>
  <dcterms:modified xsi:type="dcterms:W3CDTF">2026-03-13T10:40:37Z</dcterms:modified>
  <cp:version>917504</cp:version>
</cp:coreProperties>
</file>